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7A262" w14:textId="77777777" w:rsidR="007164BE" w:rsidRDefault="00606284">
      <w:pPr>
        <w:spacing w:line="520" w:lineRule="exact"/>
        <w:ind w:rightChars="-32" w:right="-67"/>
        <w:rPr>
          <w:rFonts w:ascii="黑体" w:eastAsia="黑体" w:hAnsi="黑体"/>
          <w:bCs/>
          <w:color w:val="000000"/>
          <w:sz w:val="32"/>
          <w:szCs w:val="32"/>
        </w:rPr>
      </w:pPr>
      <w:bookmarkStart w:id="0" w:name="_GoBack"/>
      <w:bookmarkEnd w:id="0"/>
      <w:r>
        <w:rPr>
          <w:rFonts w:ascii="黑体" w:eastAsia="黑体" w:hAnsi="黑体" w:hint="eastAsia"/>
          <w:bCs/>
          <w:color w:val="000000"/>
          <w:sz w:val="32"/>
          <w:szCs w:val="32"/>
        </w:rPr>
        <w:t>附件</w:t>
      </w:r>
    </w:p>
    <w:p w14:paraId="72CD379B" w14:textId="77777777" w:rsidR="007164BE" w:rsidRDefault="007164BE">
      <w:pPr>
        <w:spacing w:line="520" w:lineRule="exact"/>
        <w:ind w:rightChars="-32" w:right="-67"/>
        <w:jc w:val="center"/>
        <w:rPr>
          <w:rFonts w:eastAsia="方正小标宋简体"/>
          <w:color w:val="000000"/>
          <w:sz w:val="44"/>
          <w:szCs w:val="44"/>
        </w:rPr>
      </w:pPr>
    </w:p>
    <w:p w14:paraId="45DB2361" w14:textId="77777777" w:rsidR="007164BE" w:rsidRDefault="00606284">
      <w:pPr>
        <w:spacing w:line="520" w:lineRule="exact"/>
        <w:jc w:val="center"/>
        <w:rPr>
          <w:rFonts w:eastAsia="方正小标宋简体"/>
          <w:color w:val="000000"/>
          <w:sz w:val="44"/>
          <w:szCs w:val="44"/>
        </w:rPr>
      </w:pPr>
      <w:r>
        <w:rPr>
          <w:rFonts w:eastAsia="方正小标宋简体"/>
          <w:color w:val="000000"/>
          <w:sz w:val="44"/>
          <w:szCs w:val="44"/>
        </w:rPr>
        <w:t>种植用口腔</w:t>
      </w:r>
      <w:r>
        <w:rPr>
          <w:rFonts w:eastAsia="方正小标宋简体" w:hint="eastAsia"/>
          <w:color w:val="000000"/>
          <w:sz w:val="44"/>
          <w:szCs w:val="44"/>
        </w:rPr>
        <w:t>填充修复</w:t>
      </w:r>
      <w:r>
        <w:rPr>
          <w:rFonts w:eastAsia="方正小标宋简体"/>
          <w:color w:val="000000"/>
          <w:sz w:val="44"/>
          <w:szCs w:val="44"/>
        </w:rPr>
        <w:t>材料同品种临床评价注册审查指导原则</w:t>
      </w:r>
    </w:p>
    <w:p w14:paraId="02E913A3" w14:textId="77777777" w:rsidR="007164BE" w:rsidRDefault="00606284">
      <w:pPr>
        <w:spacing w:line="520" w:lineRule="exact"/>
        <w:jc w:val="center"/>
        <w:rPr>
          <w:rFonts w:eastAsia="方正小标宋简体"/>
          <w:color w:val="000000"/>
          <w:sz w:val="44"/>
          <w:szCs w:val="44"/>
        </w:rPr>
      </w:pPr>
      <w:r>
        <w:rPr>
          <w:rFonts w:eastAsia="方正小标宋简体" w:hint="eastAsia"/>
          <w:color w:val="000000"/>
          <w:sz w:val="44"/>
          <w:szCs w:val="44"/>
        </w:rPr>
        <w:t>（征求意见稿）</w:t>
      </w:r>
    </w:p>
    <w:p w14:paraId="42A30E0F" w14:textId="77777777" w:rsidR="007164BE" w:rsidRDefault="007164BE">
      <w:pPr>
        <w:pStyle w:val="af"/>
        <w:spacing w:line="520" w:lineRule="exact"/>
      </w:pPr>
    </w:p>
    <w:p w14:paraId="045F37FC" w14:textId="77777777" w:rsidR="007164BE" w:rsidRDefault="007164BE">
      <w:pPr>
        <w:spacing w:line="520" w:lineRule="exact"/>
        <w:ind w:rightChars="-32" w:right="-67"/>
        <w:jc w:val="center"/>
        <w:rPr>
          <w:rFonts w:eastAsia="方正小标宋简体"/>
          <w:color w:val="000000"/>
          <w:sz w:val="32"/>
          <w:szCs w:val="44"/>
        </w:rPr>
      </w:pPr>
    </w:p>
    <w:p w14:paraId="53F3838E" w14:textId="77777777" w:rsidR="007164BE" w:rsidRDefault="00606284">
      <w:pPr>
        <w:spacing w:before="156" w:line="520" w:lineRule="exact"/>
        <w:ind w:firstLineChars="196" w:firstLine="627"/>
        <w:rPr>
          <w:rFonts w:eastAsia="仿宋_GB2312"/>
          <w:sz w:val="32"/>
          <w:szCs w:val="32"/>
        </w:rPr>
      </w:pPr>
      <w:r>
        <w:rPr>
          <w:rFonts w:eastAsia="仿宋_GB2312" w:hint="eastAsia"/>
          <w:sz w:val="32"/>
          <w:szCs w:val="32"/>
        </w:rPr>
        <w:t>为进一步规范种植用口腔</w:t>
      </w:r>
      <w:r>
        <w:rPr>
          <w:rFonts w:eastAsia="仿宋_GB2312" w:hint="eastAsia"/>
          <w:sz w:val="32"/>
          <w:szCs w:val="32"/>
        </w:rPr>
        <w:t>填充</w:t>
      </w:r>
      <w:r>
        <w:rPr>
          <w:rFonts w:eastAsia="仿宋_GB2312" w:hint="eastAsia"/>
          <w:sz w:val="32"/>
          <w:szCs w:val="32"/>
        </w:rPr>
        <w:t>修复材料产品的同品种临床评价，撰写本指导原则。旨在指导注册申请人对种植用口腔</w:t>
      </w:r>
      <w:r>
        <w:rPr>
          <w:rFonts w:eastAsia="仿宋_GB2312" w:hint="eastAsia"/>
          <w:sz w:val="32"/>
          <w:szCs w:val="32"/>
        </w:rPr>
        <w:t>填充</w:t>
      </w:r>
      <w:r>
        <w:rPr>
          <w:rFonts w:eastAsia="仿宋_GB2312" w:hint="eastAsia"/>
          <w:sz w:val="32"/>
          <w:szCs w:val="32"/>
        </w:rPr>
        <w:t>修复材料产品开展同品种临床评价，同时也为技术审评部门审评种植用口腔修复材料产品同品种临床评价资料提供参考。</w:t>
      </w:r>
    </w:p>
    <w:p w14:paraId="400AC397" w14:textId="77777777" w:rsidR="007164BE" w:rsidRDefault="00606284">
      <w:pPr>
        <w:spacing w:before="156" w:line="520" w:lineRule="exact"/>
        <w:ind w:firstLineChars="196" w:firstLine="627"/>
        <w:rPr>
          <w:rFonts w:eastAsia="仿宋_GB2312"/>
          <w:sz w:val="32"/>
          <w:szCs w:val="32"/>
        </w:rPr>
      </w:pPr>
      <w:r>
        <w:rPr>
          <w:rFonts w:eastAsia="仿宋_GB2312" w:hint="eastAsia"/>
          <w:sz w:val="32"/>
          <w:szCs w:val="32"/>
        </w:rPr>
        <w:t>本指导原则是对注册申请人和审查人员的指导性文件，但不包括注册审批所涉及的行政事项，亦不作为法规强制执行，如果有能够满足相关法规要求的其他方法，也可以采用，但是需要提供详细的研究资料和验证资料。应在遵循相关法规的前提下使用本指导原则。</w:t>
      </w:r>
    </w:p>
    <w:p w14:paraId="77FE4BFF" w14:textId="77777777" w:rsidR="007164BE" w:rsidRDefault="00606284">
      <w:pPr>
        <w:spacing w:before="156" w:line="520" w:lineRule="exact"/>
        <w:ind w:firstLineChars="196" w:firstLine="627"/>
        <w:rPr>
          <w:rFonts w:eastAsia="仿宋_GB2312"/>
          <w:sz w:val="32"/>
          <w:szCs w:val="32"/>
        </w:rPr>
      </w:pPr>
      <w:r>
        <w:rPr>
          <w:rFonts w:eastAsia="仿宋_GB2312" w:hint="eastAsia"/>
          <w:sz w:val="32"/>
          <w:szCs w:val="32"/>
        </w:rPr>
        <w:t>本指导原则是在现行法规和标准体系以及当前认知水平下制定的，随着法规和标准的不断完善，以及科学技术的不断发展，本指导原则的相关内容也将进行适时的调整。</w:t>
      </w:r>
    </w:p>
    <w:p w14:paraId="71B67529" w14:textId="77777777" w:rsidR="007164BE" w:rsidRDefault="00606284">
      <w:pPr>
        <w:spacing w:before="156" w:line="520" w:lineRule="exact"/>
        <w:ind w:firstLineChars="196" w:firstLine="627"/>
        <w:rPr>
          <w:rFonts w:eastAsia="黑体"/>
          <w:bCs/>
          <w:color w:val="000000"/>
          <w:sz w:val="32"/>
          <w:szCs w:val="32"/>
        </w:rPr>
      </w:pPr>
      <w:r>
        <w:rPr>
          <w:rFonts w:eastAsia="黑体" w:hint="eastAsia"/>
          <w:bCs/>
          <w:color w:val="000000"/>
          <w:sz w:val="32"/>
          <w:szCs w:val="32"/>
        </w:rPr>
        <w:t>一、适用范围</w:t>
      </w:r>
    </w:p>
    <w:p w14:paraId="7FB9AC16"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种植用口腔</w:t>
      </w:r>
      <w:r>
        <w:rPr>
          <w:rFonts w:eastAsia="仿宋_GB2312" w:hint="eastAsia"/>
          <w:sz w:val="32"/>
          <w:szCs w:val="32"/>
        </w:rPr>
        <w:t>填充</w:t>
      </w:r>
      <w:r>
        <w:rPr>
          <w:rFonts w:eastAsia="仿宋_GB2312" w:hint="eastAsia"/>
          <w:sz w:val="32"/>
          <w:szCs w:val="32"/>
        </w:rPr>
        <w:t>修复材料产品分类编码为</w:t>
      </w:r>
      <w:r>
        <w:rPr>
          <w:rFonts w:eastAsia="仿宋_GB2312" w:hint="eastAsia"/>
          <w:sz w:val="32"/>
          <w:szCs w:val="32"/>
        </w:rPr>
        <w:t>17-08-06</w:t>
      </w:r>
      <w:r>
        <w:rPr>
          <w:rFonts w:eastAsia="仿宋_GB2312" w:hint="eastAsia"/>
          <w:sz w:val="32"/>
          <w:szCs w:val="32"/>
        </w:rPr>
        <w:t>，本指导原则基于《医疗器械临床评价技术指导原则》（下文简称通则</w:t>
      </w:r>
      <w:r>
        <w:rPr>
          <w:rFonts w:eastAsia="仿宋_GB2312" w:hint="eastAsia"/>
          <w:sz w:val="32"/>
          <w:szCs w:val="32"/>
        </w:rPr>
        <w:t>）并结合种植用口腔</w:t>
      </w:r>
      <w:r>
        <w:rPr>
          <w:rFonts w:eastAsia="仿宋_GB2312" w:hint="eastAsia"/>
          <w:sz w:val="32"/>
          <w:szCs w:val="32"/>
        </w:rPr>
        <w:t>填充</w:t>
      </w:r>
      <w:r>
        <w:rPr>
          <w:rFonts w:eastAsia="仿宋_GB2312" w:hint="eastAsia"/>
          <w:sz w:val="32"/>
          <w:szCs w:val="32"/>
        </w:rPr>
        <w:t>修复材料产品的特点制定，适用于该类产</w:t>
      </w:r>
      <w:r>
        <w:rPr>
          <w:rFonts w:eastAsia="仿宋_GB2312" w:hint="eastAsia"/>
          <w:sz w:val="32"/>
          <w:szCs w:val="32"/>
        </w:rPr>
        <w:lastRenderedPageBreak/>
        <w:t>品的临床评价。</w:t>
      </w:r>
    </w:p>
    <w:p w14:paraId="110BD47C"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本指导原则所述种植用口腔</w:t>
      </w:r>
      <w:r>
        <w:rPr>
          <w:rFonts w:eastAsia="仿宋_GB2312" w:hint="eastAsia"/>
          <w:sz w:val="32"/>
          <w:szCs w:val="32"/>
        </w:rPr>
        <w:t>填充</w:t>
      </w:r>
      <w:r>
        <w:rPr>
          <w:rFonts w:eastAsia="仿宋_GB2312" w:hint="eastAsia"/>
          <w:sz w:val="32"/>
          <w:szCs w:val="32"/>
        </w:rPr>
        <w:t>修复材料包括口腔修复膜及骨填充修复材料。</w:t>
      </w:r>
    </w:p>
    <w:p w14:paraId="0DE362B4"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口腔修复膜是指用于口腔颌骨缺损区域修复重建时起到隔离软组织长入的作用，一般与骨粉联合使用</w:t>
      </w:r>
      <w:r>
        <w:rPr>
          <w:rFonts w:eastAsia="仿宋_GB2312"/>
          <w:sz w:val="32"/>
          <w:szCs w:val="32"/>
        </w:rPr>
        <w:t>。口腔修复膜通常分为可吸收修复膜和不可吸收修复膜</w:t>
      </w:r>
      <w:r>
        <w:rPr>
          <w:rFonts w:eastAsia="仿宋_GB2312" w:hint="eastAsia"/>
          <w:sz w:val="32"/>
          <w:szCs w:val="32"/>
        </w:rPr>
        <w:t>。</w:t>
      </w:r>
      <w:r>
        <w:rPr>
          <w:rFonts w:eastAsia="仿宋_GB2312"/>
          <w:sz w:val="32"/>
          <w:szCs w:val="32"/>
        </w:rPr>
        <w:t>可吸收膜包括天然和合成聚合物类修复膜，天然修复膜主要为动物源性胶原蛋白膜、丝素蛋白膜等，合成聚合物类修复膜包括聚乳酸膜等；不可吸收膜主要包括聚四氟乙烯膜、钛金属膜等。</w:t>
      </w:r>
      <w:r>
        <w:rPr>
          <w:rFonts w:eastAsia="仿宋_GB2312" w:hint="eastAsia"/>
          <w:sz w:val="32"/>
          <w:szCs w:val="32"/>
        </w:rPr>
        <w:t>本指导原则适用于天然可吸收膜。</w:t>
      </w:r>
    </w:p>
    <w:p w14:paraId="674E5C12"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种植用口腔骨填充修复材料一般是与膜材料联合使用，用于口腔科种植手术的骨缺损修复，包括：拔牙后、残根拔除术后拔牙窝填充；牙槽嵴恢复；牙周疾病引起的牙槽骨缺损修复。种植用口腔骨填充修复材料按来源分包括：同种异体骨、异种骨（动物源）、人工合成骨（如羟基磷灰石、β</w:t>
      </w:r>
      <w:r>
        <w:rPr>
          <w:rFonts w:eastAsia="仿宋_GB2312" w:hint="eastAsia"/>
          <w:sz w:val="32"/>
          <w:szCs w:val="32"/>
        </w:rPr>
        <w:t>-</w:t>
      </w:r>
      <w:r>
        <w:rPr>
          <w:rFonts w:eastAsia="仿宋_GB2312" w:hint="eastAsia"/>
          <w:sz w:val="32"/>
          <w:szCs w:val="32"/>
        </w:rPr>
        <w:t>磷酸三钙、</w:t>
      </w:r>
      <w:r>
        <w:rPr>
          <w:rFonts w:eastAsia="仿宋_GB2312"/>
          <w:color w:val="000000"/>
          <w:sz w:val="32"/>
          <w:szCs w:val="32"/>
        </w:rPr>
        <w:t>硅钙类生物活性玻璃</w:t>
      </w:r>
      <w:r>
        <w:rPr>
          <w:rFonts w:eastAsia="仿宋_GB2312" w:hint="eastAsia"/>
          <w:sz w:val="32"/>
          <w:szCs w:val="32"/>
        </w:rPr>
        <w:t>等），可以是块状、颗粒或粉状。本指导原则适用于异种骨。</w:t>
      </w:r>
    </w:p>
    <w:p w14:paraId="442EFFB9"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本指导原则不适用于引导口腔软组织缺损修复</w:t>
      </w:r>
      <w:r>
        <w:rPr>
          <w:rFonts w:eastAsia="仿宋_GB2312" w:hint="eastAsia"/>
          <w:sz w:val="32"/>
          <w:szCs w:val="32"/>
        </w:rPr>
        <w:t>/</w:t>
      </w:r>
      <w:r>
        <w:rPr>
          <w:rFonts w:eastAsia="仿宋_GB2312" w:hint="eastAsia"/>
          <w:sz w:val="32"/>
          <w:szCs w:val="32"/>
        </w:rPr>
        <w:t>增量、拔牙术后牙槽窝填充止血的产品，不适用于具有新的技术特性（如采用了全新的工作原理、新材料、含药物或生长因子等特殊成分等）的产</w:t>
      </w:r>
      <w:r>
        <w:rPr>
          <w:rFonts w:eastAsia="仿宋_GB2312" w:hint="eastAsia"/>
          <w:sz w:val="32"/>
          <w:szCs w:val="32"/>
        </w:rPr>
        <w:t>品。</w:t>
      </w:r>
    </w:p>
    <w:p w14:paraId="5A15263C"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如申报产品具有新的技术特性（如采用了全新的工作原理、新材料、含药物或生长因子等特殊成分等），或具有全新的临床适用范围，且已有临床数据无法证明拟申报产品安全有效的，需要通过临床试验来获得临床数据。</w:t>
      </w:r>
    </w:p>
    <w:p w14:paraId="7868B751"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lastRenderedPageBreak/>
        <w:t>本指导原则定义的临床评价方式是在通则《医疗器械临床评价技术指导原则》的框架和基础上，针对种植用口腔</w:t>
      </w:r>
      <w:r>
        <w:rPr>
          <w:rFonts w:eastAsia="仿宋_GB2312" w:hint="eastAsia"/>
          <w:sz w:val="32"/>
          <w:szCs w:val="32"/>
        </w:rPr>
        <w:t>填充</w:t>
      </w:r>
      <w:r>
        <w:rPr>
          <w:rFonts w:eastAsia="仿宋_GB2312" w:hint="eastAsia"/>
          <w:sz w:val="32"/>
          <w:szCs w:val="32"/>
        </w:rPr>
        <w:t>修复材料产品同品种比对的技术审查要求进行细化。</w:t>
      </w:r>
    </w:p>
    <w:p w14:paraId="644D915D" w14:textId="77777777" w:rsidR="007164BE" w:rsidRDefault="00606284">
      <w:pPr>
        <w:spacing w:line="520" w:lineRule="exact"/>
        <w:ind w:firstLineChars="196" w:firstLine="627"/>
        <w:rPr>
          <w:rFonts w:eastAsia="黑体"/>
          <w:bCs/>
          <w:color w:val="000000"/>
          <w:sz w:val="32"/>
          <w:szCs w:val="32"/>
        </w:rPr>
      </w:pPr>
      <w:r>
        <w:rPr>
          <w:rFonts w:eastAsia="黑体" w:hint="eastAsia"/>
          <w:bCs/>
          <w:color w:val="000000"/>
          <w:sz w:val="32"/>
          <w:szCs w:val="32"/>
        </w:rPr>
        <w:t>二、同品种临床评价要求</w:t>
      </w:r>
    </w:p>
    <w:p w14:paraId="0ECE8F34" w14:textId="77777777" w:rsidR="007164BE" w:rsidRDefault="00606284">
      <w:pPr>
        <w:spacing w:line="520" w:lineRule="exact"/>
        <w:ind w:firstLineChars="200" w:firstLine="640"/>
        <w:rPr>
          <w:rFonts w:eastAsia="楷体_GB2312"/>
          <w:color w:val="000000"/>
          <w:sz w:val="32"/>
          <w:szCs w:val="32"/>
        </w:rPr>
      </w:pPr>
      <w:r>
        <w:rPr>
          <w:rFonts w:eastAsia="楷体_GB2312" w:hint="eastAsia"/>
          <w:color w:val="000000"/>
          <w:sz w:val="32"/>
          <w:szCs w:val="32"/>
        </w:rPr>
        <w:t>（一）同品种产品的选择</w:t>
      </w:r>
    </w:p>
    <w:p w14:paraId="25587F61"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注册申请人通过同品种比对方式开展种植用口腔</w:t>
      </w:r>
      <w:r>
        <w:rPr>
          <w:rFonts w:eastAsia="仿宋_GB2312" w:hint="eastAsia"/>
          <w:sz w:val="32"/>
          <w:szCs w:val="32"/>
        </w:rPr>
        <w:t>填充</w:t>
      </w:r>
      <w:r>
        <w:rPr>
          <w:rFonts w:eastAsia="仿宋_GB2312" w:hint="eastAsia"/>
          <w:sz w:val="32"/>
          <w:szCs w:val="32"/>
        </w:rPr>
        <w:t>修复材料的临床评价时，可选用一个或多个同品种产品进行比对，宜优先选</w:t>
      </w:r>
      <w:r>
        <w:rPr>
          <w:rFonts w:eastAsia="仿宋_GB2312" w:hint="eastAsia"/>
          <w:sz w:val="32"/>
          <w:szCs w:val="32"/>
        </w:rPr>
        <w:t>择与申报产品适用范围相同、技术特征相同或相似的产品作为同品种产品。</w:t>
      </w:r>
    </w:p>
    <w:p w14:paraId="4F1B7CA3" w14:textId="77777777" w:rsidR="007164BE" w:rsidRDefault="00606284">
      <w:pPr>
        <w:spacing w:line="520" w:lineRule="exact"/>
        <w:ind w:firstLineChars="200" w:firstLine="640"/>
        <w:rPr>
          <w:rFonts w:eastAsia="楷体_GB2312"/>
          <w:color w:val="000000"/>
          <w:sz w:val="32"/>
          <w:szCs w:val="32"/>
        </w:rPr>
      </w:pPr>
      <w:r>
        <w:rPr>
          <w:rFonts w:eastAsia="楷体_GB2312" w:hint="eastAsia"/>
          <w:color w:val="000000"/>
          <w:sz w:val="32"/>
          <w:szCs w:val="32"/>
        </w:rPr>
        <w:t>（二）适用范围及临床使用相关信息的对比</w:t>
      </w:r>
    </w:p>
    <w:p w14:paraId="6C894F3B"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对比申报产品和同品种产品在适用范围以及临床使用相关信息的相同性和差异性。</w:t>
      </w:r>
    </w:p>
    <w:p w14:paraId="6AB1785A" w14:textId="77777777" w:rsidR="007164BE" w:rsidRDefault="00606284">
      <w:pPr>
        <w:spacing w:line="520" w:lineRule="exact"/>
        <w:ind w:firstLineChars="200" w:firstLine="640"/>
        <w:jc w:val="left"/>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适用范围</w:t>
      </w:r>
    </w:p>
    <w:p w14:paraId="35630085"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适用范围通常按照配合器械加预期发挥作用的方式进行规范。如对于口腔修复膜，通常为</w:t>
      </w:r>
      <w:r>
        <w:rPr>
          <w:rFonts w:eastAsia="仿宋_GB2312"/>
          <w:sz w:val="32"/>
          <w:szCs w:val="32"/>
        </w:rPr>
        <w:t>与骨粉联合使用，适用于口腔牙缺失需种植修复时起物理阻隔作用</w:t>
      </w:r>
      <w:r>
        <w:rPr>
          <w:rFonts w:eastAsia="仿宋_GB2312" w:hint="eastAsia"/>
          <w:sz w:val="32"/>
          <w:szCs w:val="32"/>
        </w:rPr>
        <w:t>；对于骨填充材料，通常为与膜材料联合使用，用于口腔科手术的骨缺损修复，包括：拔牙后、残根拔除术后拔牙窝填充、牙槽嵴恢复、牙周疾病引起的牙槽骨缺损修复。</w:t>
      </w:r>
    </w:p>
    <w:p w14:paraId="3217B068" w14:textId="77777777" w:rsidR="007164BE" w:rsidRDefault="00606284">
      <w:pPr>
        <w:adjustRightInd w:val="0"/>
        <w:snapToGrid w:val="0"/>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预期使用环境</w:t>
      </w:r>
    </w:p>
    <w:p w14:paraId="51D74133" w14:textId="77777777" w:rsidR="007164BE" w:rsidRDefault="00606284">
      <w:pPr>
        <w:spacing w:line="520" w:lineRule="exact"/>
        <w:ind w:firstLineChars="196" w:firstLine="627"/>
        <w:rPr>
          <w:rFonts w:eastAsia="仿宋_GB2312"/>
          <w:sz w:val="32"/>
          <w:szCs w:val="32"/>
        </w:rPr>
      </w:pPr>
      <w:r>
        <w:rPr>
          <w:rFonts w:eastAsia="仿宋_GB2312"/>
          <w:sz w:val="32"/>
          <w:szCs w:val="32"/>
        </w:rPr>
        <w:t>明确预期使用的地点</w:t>
      </w:r>
      <w:r>
        <w:rPr>
          <w:rFonts w:eastAsia="仿宋_GB2312" w:hint="eastAsia"/>
          <w:sz w:val="32"/>
          <w:szCs w:val="32"/>
        </w:rPr>
        <w:t>（如</w:t>
      </w:r>
      <w:r>
        <w:rPr>
          <w:rFonts w:eastAsia="仿宋_GB2312"/>
          <w:sz w:val="32"/>
          <w:szCs w:val="32"/>
        </w:rPr>
        <w:t>医疗机构</w:t>
      </w:r>
      <w:r>
        <w:rPr>
          <w:rFonts w:eastAsia="仿宋_GB2312" w:hint="eastAsia"/>
          <w:sz w:val="32"/>
          <w:szCs w:val="32"/>
        </w:rPr>
        <w:t>），</w:t>
      </w:r>
      <w:r>
        <w:rPr>
          <w:rFonts w:eastAsia="仿宋_GB2312"/>
          <w:sz w:val="32"/>
          <w:szCs w:val="32"/>
        </w:rPr>
        <w:t>说明可能影响其安全性和有效性的环境条件</w:t>
      </w:r>
      <w:r>
        <w:rPr>
          <w:rFonts w:eastAsia="仿宋_GB2312" w:hint="eastAsia"/>
          <w:sz w:val="32"/>
          <w:szCs w:val="32"/>
        </w:rPr>
        <w:t>。</w:t>
      </w:r>
    </w:p>
    <w:p w14:paraId="49ED1CF1" w14:textId="77777777" w:rsidR="007164BE" w:rsidRDefault="00606284">
      <w:pPr>
        <w:adjustRightInd w:val="0"/>
        <w:snapToGrid w:val="0"/>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w:t>
      </w:r>
      <w:r>
        <w:rPr>
          <w:rFonts w:eastAsia="仿宋_GB2312"/>
          <w:sz w:val="32"/>
          <w:szCs w:val="32"/>
        </w:rPr>
        <w:t>适用人群</w:t>
      </w:r>
    </w:p>
    <w:p w14:paraId="287C141B"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明确目标患者人群信息、患者选择标准信息以及明确使用过程中需要考虑的因素。</w:t>
      </w:r>
    </w:p>
    <w:p w14:paraId="3B1C1F62"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lastRenderedPageBreak/>
        <w:t>例如，目标患者人群预期将进行种植相关操作，需在说明书明确医生结合患者自体骨长入情况综合考虑种植时机。</w:t>
      </w:r>
    </w:p>
    <w:p w14:paraId="40ECC8B2" w14:textId="77777777" w:rsidR="007164BE" w:rsidRDefault="00606284">
      <w:pPr>
        <w:overflowPunct w:val="0"/>
        <w:spacing w:line="520" w:lineRule="exact"/>
        <w:ind w:left="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w:t>
      </w:r>
      <w:r>
        <w:rPr>
          <w:rFonts w:eastAsia="仿宋_GB2312" w:hint="eastAsia"/>
          <w:color w:val="000000"/>
          <w:sz w:val="32"/>
          <w:szCs w:val="32"/>
        </w:rPr>
        <w:t>禁忌证</w:t>
      </w:r>
    </w:p>
    <w:p w14:paraId="56DC2330"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通过风险</w:t>
      </w:r>
      <w:r>
        <w:rPr>
          <w:rFonts w:eastAsia="仿宋_GB2312" w:hint="eastAsia"/>
          <w:sz w:val="32"/>
          <w:szCs w:val="32"/>
        </w:rPr>
        <w:t>/</w:t>
      </w:r>
      <w:r>
        <w:rPr>
          <w:rFonts w:eastAsia="仿宋_GB2312" w:hint="eastAsia"/>
          <w:sz w:val="32"/>
          <w:szCs w:val="32"/>
        </w:rPr>
        <w:t>受益评估后，针对某些疾病、情况或特定的人群（如适用），认为不推荐使用该产品，应当明确说明</w:t>
      </w:r>
      <w:r>
        <w:rPr>
          <w:rFonts w:eastAsia="仿宋_GB2312"/>
          <w:sz w:val="32"/>
          <w:szCs w:val="32"/>
        </w:rPr>
        <w:t>。</w:t>
      </w:r>
      <w:r>
        <w:rPr>
          <w:rFonts w:eastAsia="仿宋_GB2312" w:hint="eastAsia"/>
          <w:sz w:val="32"/>
          <w:szCs w:val="32"/>
        </w:rPr>
        <w:t>例如，对于含有胶原蛋白的产品，需明确过敏人群禁用。</w:t>
      </w:r>
    </w:p>
    <w:p w14:paraId="563ED010" w14:textId="77777777" w:rsidR="007164BE" w:rsidRDefault="00606284">
      <w:pPr>
        <w:spacing w:line="520" w:lineRule="exact"/>
        <w:ind w:firstLineChars="200" w:firstLine="640"/>
        <w:rPr>
          <w:rFonts w:eastAsia="楷体_GB2312"/>
          <w:color w:val="000000"/>
          <w:sz w:val="32"/>
          <w:szCs w:val="32"/>
        </w:rPr>
      </w:pPr>
      <w:r>
        <w:rPr>
          <w:rFonts w:eastAsia="楷体_GB2312" w:hint="eastAsia"/>
          <w:color w:val="000000"/>
          <w:sz w:val="32"/>
          <w:szCs w:val="32"/>
        </w:rPr>
        <w:t>（三）技术特征的对比</w:t>
      </w:r>
    </w:p>
    <w:p w14:paraId="42C0D7AB"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申报产品与同品种产品技术特征的具体对比项目，建议重点考虑以下内容（包括但不限于）：</w:t>
      </w:r>
    </w:p>
    <w:p w14:paraId="7B1E9D80" w14:textId="77777777" w:rsidR="007164BE" w:rsidRDefault="00606284">
      <w:pPr>
        <w:spacing w:line="520" w:lineRule="exact"/>
        <w:ind w:firstLineChars="200" w:firstLine="640"/>
        <w:jc w:val="left"/>
        <w:rPr>
          <w:rFonts w:eastAsia="仿宋_GB2312"/>
          <w:color w:val="000000"/>
          <w:sz w:val="32"/>
          <w:szCs w:val="32"/>
        </w:rPr>
      </w:pPr>
      <w:r>
        <w:rPr>
          <w:rFonts w:eastAsia="仿宋_GB2312" w:hint="eastAsia"/>
          <w:sz w:val="32"/>
          <w:szCs w:val="32"/>
        </w:rPr>
        <w:t>1.</w:t>
      </w:r>
      <w:r>
        <w:rPr>
          <w:rFonts w:eastAsia="仿宋_GB2312" w:hint="eastAsia"/>
          <w:sz w:val="32"/>
          <w:szCs w:val="32"/>
        </w:rPr>
        <w:t>主要成分及结构设计比对</w:t>
      </w:r>
    </w:p>
    <w:p w14:paraId="608D244B"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对于口腔修复膜，一般需提供申报产品的原材料类型（例如，若为胶原蛋白材料，需明确胶原蛋白类型及比例、材料来源）、取材部位（例如，动物源材料取自牛心包）、组成成分及百分含量，比对申报产品和同品种产品的宏观结构特征（例如，长度、宽度、厚度（对于双层结构需要明确每层厚度））、材料微观结构特征（包括双层结构的孔径大小、孔型、分布等）。如产品使用交联剂，还需明确申报产品的交联剂种类和投料比。</w:t>
      </w:r>
    </w:p>
    <w:p w14:paraId="21B6478F"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对于骨填充修复材</w:t>
      </w:r>
      <w:r>
        <w:rPr>
          <w:rFonts w:eastAsia="仿宋_GB2312" w:hint="eastAsia"/>
          <w:sz w:val="32"/>
          <w:szCs w:val="32"/>
        </w:rPr>
        <w:t>料，需要提供申报产品的组成成分、取材部位（例如，动物源材料取自小牛股骨，如适用）、及基础加工方式，比对申报产品和同品种产品的结构尺寸粒径（如适用）、密度（如适用）、微观结构特征（包括总孔隙率、开孔孔隙率和</w:t>
      </w:r>
      <w:r>
        <w:rPr>
          <w:rFonts w:eastAsia="仿宋_GB2312"/>
          <w:sz w:val="32"/>
          <w:szCs w:val="32"/>
        </w:rPr>
        <w:t>/</w:t>
      </w:r>
      <w:r>
        <w:rPr>
          <w:rFonts w:eastAsia="仿宋_GB2312" w:hint="eastAsia"/>
          <w:sz w:val="32"/>
          <w:szCs w:val="32"/>
        </w:rPr>
        <w:t>或孔连通率、平均孔径、孔径分布等）、配用器械。</w:t>
      </w:r>
    </w:p>
    <w:p w14:paraId="68E40B85" w14:textId="77777777" w:rsidR="007164BE" w:rsidRDefault="00606284">
      <w:pPr>
        <w:spacing w:line="520" w:lineRule="exact"/>
        <w:ind w:firstLineChars="200" w:firstLine="640"/>
        <w:jc w:val="left"/>
        <w:rPr>
          <w:rFonts w:eastAsia="仿宋_GB2312"/>
          <w:color w:val="000000"/>
          <w:sz w:val="32"/>
          <w:szCs w:val="32"/>
        </w:rPr>
      </w:pPr>
      <w:r>
        <w:rPr>
          <w:rFonts w:eastAsia="仿宋_GB2312" w:hint="eastAsia"/>
          <w:sz w:val="32"/>
          <w:szCs w:val="32"/>
        </w:rPr>
        <w:t xml:space="preserve">2. </w:t>
      </w:r>
      <w:r>
        <w:rPr>
          <w:rFonts w:eastAsia="仿宋_GB2312" w:hint="eastAsia"/>
          <w:sz w:val="32"/>
          <w:szCs w:val="32"/>
        </w:rPr>
        <w:t>性能比对</w:t>
      </w:r>
    </w:p>
    <w:p w14:paraId="0F9ACD9A"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对于口腔修复膜，一般需考虑比对申报产品和同品种产品的表面特性（如，双面的致密度或光滑</w:t>
      </w:r>
      <w:r>
        <w:rPr>
          <w:rFonts w:eastAsia="仿宋_GB2312" w:hint="eastAsia"/>
          <w:sz w:val="32"/>
          <w:szCs w:val="32"/>
        </w:rPr>
        <w:t>/</w:t>
      </w:r>
      <w:r>
        <w:rPr>
          <w:rFonts w:eastAsia="仿宋_GB2312" w:hint="eastAsia"/>
          <w:sz w:val="32"/>
          <w:szCs w:val="32"/>
        </w:rPr>
        <w:t>粗糙度）、固定形式、力学</w:t>
      </w:r>
      <w:r>
        <w:rPr>
          <w:rFonts w:eastAsia="仿宋_GB2312" w:hint="eastAsia"/>
          <w:sz w:val="32"/>
          <w:szCs w:val="32"/>
        </w:rPr>
        <w:lastRenderedPageBreak/>
        <w:t>性能（例如，</w:t>
      </w:r>
      <w:r>
        <w:rPr>
          <w:rFonts w:eastAsia="仿宋_GB2312"/>
          <w:sz w:val="32"/>
          <w:szCs w:val="32"/>
        </w:rPr>
        <w:t>拉伸强度、缝合强度（撕裂力）、断裂伸长率、连接</w:t>
      </w:r>
      <w:r>
        <w:rPr>
          <w:rFonts w:eastAsia="仿宋_GB2312"/>
          <w:sz w:val="32"/>
          <w:szCs w:val="32"/>
        </w:rPr>
        <w:t>/</w:t>
      </w:r>
      <w:r>
        <w:rPr>
          <w:rFonts w:eastAsia="仿宋_GB2312"/>
          <w:sz w:val="32"/>
          <w:szCs w:val="32"/>
        </w:rPr>
        <w:t>结合强度</w:t>
      </w:r>
      <w:r>
        <w:rPr>
          <w:rFonts w:eastAsia="仿宋_GB2312" w:hint="eastAsia"/>
          <w:sz w:val="32"/>
          <w:szCs w:val="32"/>
        </w:rPr>
        <w:t>（如适用））、吸水性、降解性能（包括体外降解和体内降解）、</w:t>
      </w:r>
      <w:r>
        <w:rPr>
          <w:rFonts w:eastAsia="仿宋_GB2312"/>
          <w:sz w:val="32"/>
          <w:szCs w:val="32"/>
        </w:rPr>
        <w:t>膜的屏</w:t>
      </w:r>
      <w:r>
        <w:rPr>
          <w:rFonts w:eastAsia="仿宋_GB2312"/>
          <w:sz w:val="32"/>
          <w:szCs w:val="32"/>
        </w:rPr>
        <w:t>障性能。</w:t>
      </w:r>
    </w:p>
    <w:p w14:paraId="40CE5015"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对于骨填充修复材料，一般需考虑比对</w:t>
      </w:r>
      <w:r>
        <w:rPr>
          <w:rFonts w:eastAsia="仿宋_GB2312" w:hint="eastAsia"/>
          <w:sz w:val="32"/>
          <w:szCs w:val="32"/>
        </w:rPr>
        <w:t>p</w:t>
      </w:r>
      <w:r>
        <w:rPr>
          <w:rFonts w:eastAsia="仿宋_GB2312"/>
          <w:sz w:val="32"/>
          <w:szCs w:val="32"/>
        </w:rPr>
        <w:t>H</w:t>
      </w:r>
      <w:r>
        <w:rPr>
          <w:rFonts w:eastAsia="仿宋_GB2312" w:hint="eastAsia"/>
          <w:sz w:val="32"/>
          <w:szCs w:val="32"/>
        </w:rPr>
        <w:t>值、钙磷比、力学性能（如适用）、降解性能（包括体外降解和体内降解）、</w:t>
      </w:r>
      <w:r>
        <w:rPr>
          <w:rFonts w:eastAsia="仿宋_GB2312"/>
          <w:sz w:val="32"/>
          <w:szCs w:val="32"/>
        </w:rPr>
        <w:t>骨填充材料的成骨效果</w:t>
      </w:r>
      <w:r>
        <w:rPr>
          <w:rFonts w:eastAsia="仿宋_GB2312" w:hint="eastAsia"/>
          <w:sz w:val="32"/>
          <w:szCs w:val="32"/>
        </w:rPr>
        <w:t>。</w:t>
      </w:r>
    </w:p>
    <w:p w14:paraId="45E305E1"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上述比对需论述测试用型号规格的典型性（例如，需要考虑取材部位、厚度、粒径大小等对产品理化性能、降解等性能的影响等）。</w:t>
      </w:r>
    </w:p>
    <w:p w14:paraId="316550D2" w14:textId="77777777" w:rsidR="007164BE" w:rsidRDefault="00606284">
      <w:pPr>
        <w:spacing w:line="520" w:lineRule="exact"/>
        <w:ind w:firstLineChars="200" w:firstLine="640"/>
        <w:rPr>
          <w:rFonts w:eastAsia="楷体_GB2312"/>
          <w:color w:val="000000"/>
          <w:sz w:val="32"/>
          <w:szCs w:val="32"/>
        </w:rPr>
      </w:pPr>
      <w:r>
        <w:rPr>
          <w:rFonts w:eastAsia="楷体_GB2312" w:hint="eastAsia"/>
          <w:color w:val="000000"/>
          <w:sz w:val="32"/>
          <w:szCs w:val="32"/>
        </w:rPr>
        <w:t>（四）差异性部分的安全有效性证据</w:t>
      </w:r>
    </w:p>
    <w:p w14:paraId="16DA5817"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注册申请人可将申报产品与一个或多个同品种产品进行对比，详述二者的相同性和差异性。若申报产品与同品种产品的结构设计存在差异，申请人可通过已上市同类产品论述结构设计的合理性。当申报产品超出同品种产品的规格时，申请人应说明该规</w:t>
      </w:r>
      <w:r>
        <w:rPr>
          <w:rFonts w:eastAsia="仿宋_GB2312" w:hint="eastAsia"/>
          <w:sz w:val="32"/>
          <w:szCs w:val="32"/>
        </w:rPr>
        <w:t>格设计与临床解剖部位适配的合理性。若已上市同类产品中已有相同规格且适用部位、临床使用方式相同的，申请人可考虑提交同类产品已上市规格信息作为支持性资料。</w:t>
      </w:r>
    </w:p>
    <w:p w14:paraId="51722EFD"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针对主要成分、结构设计和性能比对测试（例如，临床使用中张力较大、撕裂、吸水对尺寸及力学性能的影响、降解快</w:t>
      </w:r>
      <w:r>
        <w:rPr>
          <w:rFonts w:eastAsia="仿宋_GB2312" w:hint="eastAsia"/>
          <w:sz w:val="32"/>
          <w:szCs w:val="32"/>
        </w:rPr>
        <w:t>/</w:t>
      </w:r>
      <w:r>
        <w:rPr>
          <w:rFonts w:eastAsia="仿宋_GB2312" w:hint="eastAsia"/>
          <w:sz w:val="32"/>
          <w:szCs w:val="32"/>
        </w:rPr>
        <w:t>慢影响组织愈合及后期种植等失效风险）的差异性，申请人需分析差异部分对申报产品安全有效性的影响，并提供进一步的支持性资料。</w:t>
      </w:r>
    </w:p>
    <w:p w14:paraId="24818870"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申请人需继续开展降解性能比对研究、动物试验研究，并结合申报产品的临床使用场景、已上市同类产品的情况、动物试验结果等资料，综合分析申报产品的临床可接受性从而论证申报产</w:t>
      </w:r>
      <w:r>
        <w:rPr>
          <w:rFonts w:eastAsia="仿宋_GB2312" w:hint="eastAsia"/>
          <w:sz w:val="32"/>
          <w:szCs w:val="32"/>
        </w:rPr>
        <w:lastRenderedPageBreak/>
        <w:t>品的安全有效性。</w:t>
      </w:r>
    </w:p>
    <w:p w14:paraId="185BF314" w14:textId="77777777" w:rsidR="007164BE" w:rsidRDefault="00606284">
      <w:pPr>
        <w:spacing w:line="520" w:lineRule="exact"/>
        <w:ind w:firstLineChars="200" w:firstLine="640"/>
        <w:jc w:val="left"/>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降解性能</w:t>
      </w:r>
    </w:p>
    <w:p w14:paraId="1A88F732"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该产品为预期可降解产品，一般需提供申报产品和同品种产品的体内、外降解性能研究。口腔修复膜体外降解试验常见情况为采用酶溶液，在一定温度条件下，对膜产品加速降解；对于骨填充修复材料，可模拟在相应体液环境，在一定温度条件下，进行加速降解。在降解过程中应记录多个节点降解质量、形态等的相关内容，最终绘制产品完整的降解曲线图，</w:t>
      </w:r>
      <w:r>
        <w:rPr>
          <w:rFonts w:eastAsia="仿宋_GB2312" w:hint="eastAsia"/>
          <w:sz w:val="32"/>
          <w:szCs w:val="32"/>
        </w:rPr>
        <w:t>需与所选同品种产品在相同试验条件下开展比对研究，考虑到申报产品在口腔内使用期间，降解速度应达到预期目的，若申报产品降解速率过快，建议关注是否能够满足临床需求，体内降解性能研究建议在动物有效性试验中一并观察，体外降解试验与体内降解试验降解结果的趋势应具有一致性，建议观察至降解完全或降解稳态。</w:t>
      </w:r>
    </w:p>
    <w:p w14:paraId="13800418" w14:textId="77777777" w:rsidR="007164BE" w:rsidRDefault="00606284">
      <w:pPr>
        <w:spacing w:line="520" w:lineRule="exact"/>
        <w:ind w:firstLineChars="200" w:firstLine="640"/>
        <w:jc w:val="left"/>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动物试验</w:t>
      </w:r>
    </w:p>
    <w:p w14:paraId="2D6DE56B"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一般采用犬作为动物模型，进行对照研究，试验动物数量需要考虑试验结果的可重复性。</w:t>
      </w:r>
      <w:r>
        <w:rPr>
          <w:rFonts w:eastAsia="仿宋_GB2312"/>
          <w:sz w:val="32"/>
          <w:szCs w:val="32"/>
        </w:rPr>
        <w:t>建议动物缺损模型结合产品预期使用情形</w:t>
      </w:r>
      <w:r>
        <w:rPr>
          <w:rFonts w:eastAsia="仿宋_GB2312" w:hint="eastAsia"/>
          <w:sz w:val="32"/>
          <w:szCs w:val="32"/>
        </w:rPr>
        <w:t>进行设计</w:t>
      </w:r>
      <w:r>
        <w:rPr>
          <w:rFonts w:eastAsia="仿宋_GB2312"/>
          <w:sz w:val="32"/>
          <w:szCs w:val="32"/>
        </w:rPr>
        <w:t>，如</w:t>
      </w:r>
      <w:r>
        <w:rPr>
          <w:rFonts w:eastAsia="仿宋_GB2312"/>
          <w:sz w:val="32"/>
          <w:szCs w:val="32"/>
        </w:rPr>
        <w:t>“</w:t>
      </w:r>
      <w:r>
        <w:rPr>
          <w:rFonts w:eastAsia="仿宋_GB2312"/>
          <w:sz w:val="32"/>
          <w:szCs w:val="32"/>
        </w:rPr>
        <w:t>牙槽骨缺损模型</w:t>
      </w:r>
      <w:r>
        <w:rPr>
          <w:rFonts w:eastAsia="仿宋_GB2312"/>
          <w:sz w:val="32"/>
          <w:szCs w:val="32"/>
        </w:rPr>
        <w:t>/</w:t>
      </w:r>
      <w:r>
        <w:rPr>
          <w:rFonts w:eastAsia="仿宋_GB2312"/>
          <w:sz w:val="32"/>
          <w:szCs w:val="32"/>
        </w:rPr>
        <w:t>拔牙窝模型</w:t>
      </w:r>
      <w:r>
        <w:rPr>
          <w:rFonts w:eastAsia="仿宋_GB2312"/>
          <w:sz w:val="32"/>
          <w:szCs w:val="32"/>
        </w:rPr>
        <w:t>”</w:t>
      </w:r>
      <w:r>
        <w:rPr>
          <w:rFonts w:eastAsia="仿宋_GB2312" w:hint="eastAsia"/>
          <w:sz w:val="32"/>
          <w:szCs w:val="32"/>
        </w:rPr>
        <w:t>；若申报产品预期用于较大尺寸缺损情形，则需要在动物</w:t>
      </w:r>
      <w:r>
        <w:rPr>
          <w:rFonts w:eastAsia="仿宋_GB2312" w:hint="eastAsia"/>
          <w:sz w:val="32"/>
          <w:szCs w:val="32"/>
        </w:rPr>
        <w:t>试验中进行相应缺损情形的验证。试验过程中一般应设置阳性对照组（同品种产品）、空白对照组（即骨缺损部位不进行处理），缺损模型尺寸需要观察到临界骨缺损尺寸。</w:t>
      </w:r>
    </w:p>
    <w:p w14:paraId="6C070A44"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动物试验的植入部位，需根据产品预期的临床使用方法进行设计，同时动物试验中需要观察产品预期使用的最大用量。</w:t>
      </w:r>
      <w:r>
        <w:rPr>
          <w:rFonts w:eastAsia="仿宋_GB2312"/>
          <w:color w:val="000000"/>
          <w:spacing w:val="-1"/>
          <w:sz w:val="32"/>
          <w:szCs w:val="32"/>
        </w:rPr>
        <w:t>动物试验观察指标需考虑临床观察（如软组织愈合情况，软组织隔离及长入情况，术区软组织有无红肿、开裂等不良反应，膜上组织</w:t>
      </w:r>
      <w:r>
        <w:rPr>
          <w:rFonts w:eastAsia="仿宋_GB2312"/>
          <w:color w:val="000000"/>
          <w:spacing w:val="-1"/>
          <w:sz w:val="32"/>
          <w:szCs w:val="32"/>
        </w:rPr>
        <w:lastRenderedPageBreak/>
        <w:t>液富集观察等）、影像学观察（如成骨效果，</w:t>
      </w:r>
      <w:r>
        <w:rPr>
          <w:rFonts w:eastAsia="仿宋_GB2312"/>
          <w:spacing w:val="-1"/>
          <w:sz w:val="32"/>
          <w:szCs w:val="32"/>
        </w:rPr>
        <w:t>包括但不限于：缺损区域新生骨骨体积分数和</w:t>
      </w:r>
      <w:r>
        <w:rPr>
          <w:rFonts w:eastAsia="仿宋_GB2312"/>
          <w:spacing w:val="-1"/>
          <w:sz w:val="32"/>
          <w:szCs w:val="32"/>
        </w:rPr>
        <w:t>/</w:t>
      </w:r>
      <w:r>
        <w:rPr>
          <w:rFonts w:eastAsia="仿宋_GB2312"/>
          <w:spacing w:val="-1"/>
          <w:sz w:val="32"/>
          <w:szCs w:val="32"/>
        </w:rPr>
        <w:t>或骨量、缺损区域新生骨骨小梁的分析、骨密度、牙槽嵴宽度</w:t>
      </w:r>
      <w:r>
        <w:rPr>
          <w:rFonts w:eastAsia="仿宋_GB2312"/>
          <w:spacing w:val="-1"/>
          <w:sz w:val="32"/>
          <w:szCs w:val="32"/>
        </w:rPr>
        <w:t>/</w:t>
      </w:r>
      <w:r>
        <w:rPr>
          <w:rFonts w:eastAsia="仿宋_GB2312"/>
          <w:spacing w:val="-1"/>
          <w:sz w:val="32"/>
          <w:szCs w:val="32"/>
        </w:rPr>
        <w:t>高度的变化量等</w:t>
      </w:r>
      <w:r>
        <w:rPr>
          <w:rFonts w:eastAsia="仿宋_GB2312"/>
          <w:color w:val="000000"/>
          <w:spacing w:val="-1"/>
          <w:sz w:val="32"/>
          <w:szCs w:val="32"/>
        </w:rPr>
        <w:t>）、</w:t>
      </w:r>
      <w:r>
        <w:rPr>
          <w:rFonts w:eastAsia="仿宋_GB2312"/>
          <w:sz w:val="32"/>
          <w:szCs w:val="32"/>
        </w:rPr>
        <w:t>病理组织学观察（</w:t>
      </w:r>
      <w:r>
        <w:rPr>
          <w:rFonts w:eastAsia="仿宋_GB2312"/>
          <w:color w:val="000000"/>
          <w:spacing w:val="-1"/>
          <w:sz w:val="32"/>
          <w:szCs w:val="32"/>
        </w:rPr>
        <w:t>植入后炎症反应、</w:t>
      </w:r>
      <w:r>
        <w:rPr>
          <w:rFonts w:eastAsia="仿宋_GB2312"/>
          <w:sz w:val="32"/>
          <w:szCs w:val="32"/>
        </w:rPr>
        <w:t>修复周期（降解周期，降解量、膜厚、</w:t>
      </w:r>
      <w:r>
        <w:rPr>
          <w:rFonts w:eastAsia="仿宋_GB2312" w:hint="eastAsia"/>
          <w:sz w:val="32"/>
          <w:szCs w:val="32"/>
        </w:rPr>
        <w:t>新骨生成率</w:t>
      </w:r>
      <w:r>
        <w:rPr>
          <w:rFonts w:eastAsia="仿宋_GB2312"/>
          <w:sz w:val="32"/>
          <w:szCs w:val="32"/>
        </w:rPr>
        <w:t>）、组织长入、</w:t>
      </w:r>
      <w:r>
        <w:rPr>
          <w:rFonts w:eastAsia="仿宋_GB2312" w:hint="eastAsia"/>
          <w:sz w:val="32"/>
          <w:szCs w:val="32"/>
        </w:rPr>
        <w:t>骨成熟度</w:t>
      </w:r>
      <w:r>
        <w:rPr>
          <w:rFonts w:eastAsia="仿宋_GB2312"/>
          <w:sz w:val="32"/>
          <w:szCs w:val="32"/>
        </w:rPr>
        <w:t>）等</w:t>
      </w:r>
      <w:r>
        <w:rPr>
          <w:rFonts w:eastAsia="仿宋_GB2312" w:hint="eastAsia"/>
          <w:sz w:val="32"/>
          <w:szCs w:val="32"/>
        </w:rPr>
        <w:t>。植入后观察时间节点一般需根据体外降解曲线设计，根据不同的产品材质，</w:t>
      </w:r>
      <w:r>
        <w:rPr>
          <w:rFonts w:eastAsia="仿宋_GB2312"/>
          <w:spacing w:val="-1"/>
          <w:sz w:val="32"/>
          <w:szCs w:val="32"/>
        </w:rPr>
        <w:t>观察期通常设置三至四个时间点：</w:t>
      </w:r>
      <w:r>
        <w:rPr>
          <w:rFonts w:eastAsia="仿宋_GB2312" w:hint="eastAsia"/>
          <w:sz w:val="32"/>
          <w:szCs w:val="32"/>
        </w:rPr>
        <w:t>建议考虑观察时间点设置包括没有或仅有少量降解、降解过程中、组织反应达到稳定状态且产品降解完全或达到降解稳态，建议观察时间不少于</w:t>
      </w:r>
      <w:r>
        <w:rPr>
          <w:rFonts w:eastAsia="仿宋_GB2312" w:hint="eastAsia"/>
          <w:sz w:val="32"/>
          <w:szCs w:val="32"/>
        </w:rPr>
        <w:t>6</w:t>
      </w:r>
      <w:r>
        <w:rPr>
          <w:rFonts w:eastAsia="仿宋_GB2312" w:hint="eastAsia"/>
          <w:sz w:val="32"/>
          <w:szCs w:val="32"/>
        </w:rPr>
        <w:t>个月。</w:t>
      </w:r>
    </w:p>
    <w:p w14:paraId="6521CF15"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差异性的论证需要结合体内体外降解性能研究结果及动物试验结果，</w:t>
      </w:r>
      <w:r>
        <w:rPr>
          <w:rFonts w:eastAsia="仿宋_GB2312" w:hint="eastAsia"/>
          <w:sz w:val="32"/>
          <w:szCs w:val="32"/>
        </w:rPr>
        <w:t>论述产品降解周期与产品预期生物屏障作用周期的一致性，论述产品性能是否可以达到临床预期的维持时间，以及产品对组织（包括骨组织、软组织）的影响。</w:t>
      </w:r>
    </w:p>
    <w:p w14:paraId="5D12468C" w14:textId="77777777" w:rsidR="007164BE" w:rsidRDefault="00606284">
      <w:pPr>
        <w:spacing w:line="520" w:lineRule="exact"/>
        <w:ind w:firstLineChars="200" w:firstLine="640"/>
        <w:rPr>
          <w:rFonts w:eastAsia="楷体_GB2312"/>
          <w:color w:val="000000"/>
          <w:sz w:val="32"/>
          <w:szCs w:val="32"/>
        </w:rPr>
      </w:pPr>
      <w:r>
        <w:rPr>
          <w:rFonts w:eastAsia="楷体_GB2312" w:hint="eastAsia"/>
          <w:color w:val="000000"/>
          <w:sz w:val="32"/>
          <w:szCs w:val="32"/>
        </w:rPr>
        <w:t>（五）同品种产品的临床数据</w:t>
      </w:r>
    </w:p>
    <w:p w14:paraId="2129549C"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建议参考《医疗器械临床评价技术指导原则》要求，提交同品种产品的临床数据；临床试验或临床使用获得的数据（以下简称临床数据）可来自中国境内和</w:t>
      </w:r>
      <w:r>
        <w:rPr>
          <w:rFonts w:eastAsia="仿宋_GB2312" w:hint="eastAsia"/>
          <w:sz w:val="32"/>
          <w:szCs w:val="32"/>
        </w:rPr>
        <w:t>/</w:t>
      </w:r>
      <w:r>
        <w:rPr>
          <w:rFonts w:eastAsia="仿宋_GB2312" w:hint="eastAsia"/>
          <w:sz w:val="32"/>
          <w:szCs w:val="32"/>
        </w:rPr>
        <w:t>或境外公开发表的科学文献和合法获得的相应数据，包括临床试验数据、临床经验数据、临床文献数据等。</w:t>
      </w:r>
    </w:p>
    <w:p w14:paraId="499F9FCA"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申请人需全面收集同品种产品的临床数据，建议申请人根据收集的数据中是否为同品种产品，或为与申报产品有相同设计特</w:t>
      </w:r>
      <w:r>
        <w:rPr>
          <w:rFonts w:eastAsia="仿宋_GB2312" w:hint="eastAsia"/>
          <w:sz w:val="32"/>
          <w:szCs w:val="32"/>
        </w:rPr>
        <w:t>征的产品，分别进行汇总、分析。</w:t>
      </w:r>
    </w:p>
    <w:p w14:paraId="0BC1EE4A" w14:textId="77777777" w:rsidR="007164BE" w:rsidRDefault="00606284">
      <w:pPr>
        <w:spacing w:line="520" w:lineRule="exact"/>
        <w:ind w:firstLineChars="196" w:firstLine="627"/>
        <w:rPr>
          <w:rFonts w:eastAsia="仿宋_GB2312"/>
          <w:sz w:val="32"/>
          <w:szCs w:val="32"/>
        </w:rPr>
      </w:pPr>
      <w:r>
        <w:rPr>
          <w:rFonts w:eastAsia="仿宋_GB2312" w:hint="eastAsia"/>
          <w:sz w:val="32"/>
          <w:szCs w:val="32"/>
        </w:rPr>
        <w:t>考虑到数据来源的多样性，建议申请人提取关键要素，以图表形式呈现数据，以附件的形式提供数据来源的原文件和</w:t>
      </w:r>
      <w:r>
        <w:rPr>
          <w:rFonts w:eastAsia="仿宋_GB2312" w:hint="eastAsia"/>
          <w:sz w:val="32"/>
          <w:szCs w:val="32"/>
        </w:rPr>
        <w:t>/</w:t>
      </w:r>
      <w:r>
        <w:rPr>
          <w:rFonts w:eastAsia="仿宋_GB2312" w:hint="eastAsia"/>
          <w:sz w:val="32"/>
          <w:szCs w:val="32"/>
        </w:rPr>
        <w:t>或原文。</w:t>
      </w:r>
    </w:p>
    <w:p w14:paraId="29DF418F" w14:textId="77777777" w:rsidR="007164BE" w:rsidRDefault="007164BE">
      <w:pPr>
        <w:spacing w:line="520" w:lineRule="exact"/>
        <w:ind w:firstLineChars="200" w:firstLine="640"/>
        <w:jc w:val="left"/>
        <w:rPr>
          <w:rFonts w:eastAsia="仿宋_GB2312"/>
          <w:color w:val="000000"/>
          <w:sz w:val="32"/>
          <w:szCs w:val="32"/>
        </w:rPr>
      </w:pPr>
    </w:p>
    <w:p w14:paraId="74E2D906" w14:textId="77777777" w:rsidR="007164BE" w:rsidRDefault="00606284">
      <w:pPr>
        <w:pStyle w:val="1"/>
        <w:spacing w:line="520" w:lineRule="exact"/>
        <w:ind w:firstLine="640"/>
        <w:jc w:val="left"/>
        <w:outlineLvl w:val="0"/>
        <w:rPr>
          <w:rFonts w:eastAsia="黑体"/>
        </w:rPr>
      </w:pPr>
      <w:r>
        <w:rPr>
          <w:rFonts w:eastAsia="黑体" w:hint="eastAsia"/>
        </w:rPr>
        <w:t>四、参考文献</w:t>
      </w:r>
    </w:p>
    <w:p w14:paraId="3DAC9F5C" w14:textId="77777777" w:rsidR="007164BE" w:rsidRDefault="00606284">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 xml:space="preserve">[1] </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医疗器械临床评价技术指导原则</w:t>
      </w:r>
      <w:r>
        <w:rPr>
          <w:rFonts w:eastAsia="仿宋_GB2312" w:hint="eastAsia"/>
          <w:color w:val="000000"/>
          <w:sz w:val="32"/>
          <w:szCs w:val="32"/>
        </w:rPr>
        <w:t>:</w:t>
      </w:r>
      <w:r>
        <w:rPr>
          <w:rFonts w:eastAsia="仿宋_GB2312" w:hint="eastAsia"/>
          <w:color w:val="000000"/>
          <w:sz w:val="32"/>
          <w:szCs w:val="32"/>
        </w:rPr>
        <w:t>国家药监局通告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73</w:t>
      </w:r>
      <w:r>
        <w:rPr>
          <w:rFonts w:eastAsia="仿宋_GB2312" w:hint="eastAsia"/>
          <w:color w:val="000000"/>
          <w:sz w:val="32"/>
          <w:szCs w:val="32"/>
        </w:rPr>
        <w:t>号</w:t>
      </w:r>
      <w:r>
        <w:rPr>
          <w:rFonts w:eastAsia="仿宋_GB2312" w:hint="eastAsia"/>
          <w:color w:val="000000"/>
          <w:sz w:val="32"/>
          <w:szCs w:val="32"/>
        </w:rPr>
        <w:t>[Z].</w:t>
      </w:r>
    </w:p>
    <w:p w14:paraId="226A60B8" w14:textId="77777777" w:rsidR="007164BE" w:rsidRDefault="00606284">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 xml:space="preserve">[2] </w:t>
      </w:r>
      <w:r>
        <w:rPr>
          <w:rFonts w:eastAsia="仿宋_GB2312" w:hint="eastAsia"/>
          <w:color w:val="000000"/>
          <w:sz w:val="32"/>
          <w:szCs w:val="32"/>
        </w:rPr>
        <w:t>国家药监局，国家卫生健康委</w:t>
      </w:r>
      <w:r>
        <w:rPr>
          <w:rFonts w:eastAsia="仿宋_GB2312" w:hint="eastAsia"/>
          <w:color w:val="000000"/>
          <w:sz w:val="32"/>
          <w:szCs w:val="32"/>
        </w:rPr>
        <w:t>.</w:t>
      </w:r>
      <w:r>
        <w:rPr>
          <w:rFonts w:eastAsia="仿宋_GB2312" w:hint="eastAsia"/>
          <w:color w:val="000000"/>
          <w:sz w:val="32"/>
          <w:szCs w:val="32"/>
        </w:rPr>
        <w:t>医疗器械临床试验质量管理规范</w:t>
      </w:r>
      <w:r>
        <w:rPr>
          <w:rFonts w:eastAsia="仿宋_GB2312" w:hint="eastAsia"/>
          <w:color w:val="000000"/>
          <w:sz w:val="32"/>
          <w:szCs w:val="32"/>
        </w:rPr>
        <w:t>:</w:t>
      </w:r>
      <w:r>
        <w:rPr>
          <w:rFonts w:eastAsia="仿宋_GB2312" w:hint="eastAsia"/>
          <w:color w:val="000000"/>
          <w:sz w:val="32"/>
          <w:szCs w:val="32"/>
        </w:rPr>
        <w:t>国家药监局</w:t>
      </w:r>
      <w:r>
        <w:rPr>
          <w:rFonts w:eastAsia="仿宋_GB2312" w:hint="eastAsia"/>
          <w:color w:val="000000"/>
          <w:sz w:val="32"/>
          <w:szCs w:val="32"/>
        </w:rPr>
        <w:t xml:space="preserve"> </w:t>
      </w:r>
      <w:r>
        <w:rPr>
          <w:rFonts w:eastAsia="仿宋_GB2312" w:hint="eastAsia"/>
          <w:color w:val="000000"/>
          <w:sz w:val="32"/>
          <w:szCs w:val="32"/>
        </w:rPr>
        <w:t>国家卫生健康委公告</w:t>
      </w:r>
      <w:r>
        <w:rPr>
          <w:rFonts w:eastAsia="仿宋_GB2312" w:hint="eastAsia"/>
          <w:color w:val="000000"/>
          <w:sz w:val="32"/>
          <w:szCs w:val="32"/>
        </w:rPr>
        <w:t>2022</w:t>
      </w:r>
      <w:r>
        <w:rPr>
          <w:rFonts w:eastAsia="仿宋_GB2312" w:hint="eastAsia"/>
          <w:color w:val="000000"/>
          <w:sz w:val="32"/>
          <w:szCs w:val="32"/>
        </w:rPr>
        <w:t>年第</w:t>
      </w:r>
      <w:r>
        <w:rPr>
          <w:rFonts w:eastAsia="仿宋_GB2312" w:hint="eastAsia"/>
          <w:color w:val="000000"/>
          <w:sz w:val="32"/>
          <w:szCs w:val="32"/>
        </w:rPr>
        <w:t>28</w:t>
      </w:r>
      <w:r>
        <w:rPr>
          <w:rFonts w:eastAsia="仿宋_GB2312" w:hint="eastAsia"/>
          <w:color w:val="000000"/>
          <w:sz w:val="32"/>
          <w:szCs w:val="32"/>
        </w:rPr>
        <w:t>号</w:t>
      </w:r>
      <w:r>
        <w:rPr>
          <w:rFonts w:eastAsia="仿宋_GB2312" w:hint="eastAsia"/>
          <w:color w:val="000000"/>
          <w:sz w:val="32"/>
          <w:szCs w:val="32"/>
        </w:rPr>
        <w:t>[Z].</w:t>
      </w:r>
    </w:p>
    <w:p w14:paraId="660D3394" w14:textId="77777777" w:rsidR="007164BE" w:rsidRDefault="00606284">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[3]</w:t>
      </w:r>
      <w:r>
        <w:rPr>
          <w:rFonts w:hint="eastAsia"/>
        </w:rPr>
        <w:t xml:space="preserve"> </w:t>
      </w:r>
      <w:r>
        <w:rPr>
          <w:rFonts w:eastAsia="仿宋_GB2312" w:hint="eastAsia"/>
          <w:color w:val="000000"/>
          <w:sz w:val="32"/>
          <w:szCs w:val="32"/>
        </w:rPr>
        <w:t>国家药品监督管理局</w:t>
      </w:r>
      <w:r>
        <w:rPr>
          <w:rFonts w:eastAsia="仿宋_GB2312" w:hint="eastAsia"/>
          <w:color w:val="000000"/>
          <w:sz w:val="32"/>
          <w:szCs w:val="32"/>
        </w:rPr>
        <w:t>.</w:t>
      </w:r>
      <w:r>
        <w:rPr>
          <w:rFonts w:hint="eastAsia"/>
        </w:rPr>
        <w:t xml:space="preserve"> </w:t>
      </w:r>
      <w:r>
        <w:rPr>
          <w:rFonts w:eastAsia="仿宋_GB2312" w:hint="eastAsia"/>
          <w:color w:val="000000"/>
          <w:sz w:val="32"/>
          <w:szCs w:val="32"/>
        </w:rPr>
        <w:t>医疗器械临床试验设计指导原则</w:t>
      </w:r>
      <w:r>
        <w:rPr>
          <w:rFonts w:eastAsia="仿宋_GB2312" w:hint="eastAsia"/>
          <w:color w:val="000000"/>
          <w:sz w:val="32"/>
          <w:szCs w:val="32"/>
        </w:rPr>
        <w:t>:</w:t>
      </w:r>
      <w:r>
        <w:rPr>
          <w:rFonts w:eastAsia="仿宋_GB2312" w:hint="eastAsia"/>
          <w:color w:val="000000"/>
          <w:sz w:val="32"/>
          <w:szCs w:val="32"/>
        </w:rPr>
        <w:t>国家药监局通告</w:t>
      </w:r>
      <w:r>
        <w:rPr>
          <w:rFonts w:eastAsia="仿宋_GB2312" w:hint="eastAsia"/>
          <w:color w:val="000000"/>
          <w:sz w:val="32"/>
          <w:szCs w:val="32"/>
        </w:rPr>
        <w:t>2018</w:t>
      </w:r>
      <w:r>
        <w:rPr>
          <w:rFonts w:eastAsia="仿宋_GB2312" w:hint="eastAsia"/>
          <w:color w:val="000000"/>
          <w:sz w:val="32"/>
          <w:szCs w:val="32"/>
        </w:rPr>
        <w:t>年第</w:t>
      </w:r>
      <w:r>
        <w:rPr>
          <w:rFonts w:eastAsia="仿宋_GB2312" w:hint="eastAsia"/>
          <w:color w:val="000000"/>
          <w:sz w:val="32"/>
          <w:szCs w:val="32"/>
        </w:rPr>
        <w:t>6</w:t>
      </w:r>
      <w:r>
        <w:rPr>
          <w:rFonts w:eastAsia="仿宋_GB2312" w:hint="eastAsia"/>
          <w:color w:val="000000"/>
          <w:sz w:val="32"/>
          <w:szCs w:val="32"/>
        </w:rPr>
        <w:t>号</w:t>
      </w:r>
      <w:r>
        <w:rPr>
          <w:rFonts w:eastAsia="仿宋_GB2312" w:hint="eastAsia"/>
          <w:color w:val="000000"/>
          <w:sz w:val="32"/>
          <w:szCs w:val="32"/>
        </w:rPr>
        <w:t>[Z].</w:t>
      </w:r>
    </w:p>
    <w:p w14:paraId="2380B293" w14:textId="77777777" w:rsidR="007164BE" w:rsidRDefault="00606284">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[4]</w:t>
      </w:r>
      <w:r>
        <w:rPr>
          <w:rFonts w:hint="eastAsia"/>
        </w:rPr>
        <w:t xml:space="preserve"> </w:t>
      </w:r>
      <w:r>
        <w:rPr>
          <w:rFonts w:eastAsia="仿宋_GB2312" w:hint="eastAsia"/>
          <w:color w:val="000000"/>
          <w:sz w:val="32"/>
          <w:szCs w:val="32"/>
        </w:rPr>
        <w:t>国家药品监督管理局</w:t>
      </w:r>
      <w:r>
        <w:rPr>
          <w:rFonts w:eastAsia="仿宋_GB2312" w:hint="eastAsia"/>
          <w:color w:val="000000"/>
          <w:sz w:val="32"/>
          <w:szCs w:val="32"/>
        </w:rPr>
        <w:t>医疗器械技术审评中心</w:t>
      </w:r>
      <w:r>
        <w:rPr>
          <w:rFonts w:eastAsia="仿宋_GB2312" w:hint="eastAsia"/>
          <w:color w:val="000000"/>
          <w:sz w:val="32"/>
          <w:szCs w:val="32"/>
        </w:rPr>
        <w:t>.</w:t>
      </w:r>
      <w:r>
        <w:rPr>
          <w:rFonts w:eastAsia="仿宋_GB2312" w:hint="eastAsia"/>
          <w:color w:val="000000"/>
          <w:sz w:val="32"/>
          <w:szCs w:val="32"/>
        </w:rPr>
        <w:t>口腔修复膜注册审查指导原则：国家药品监督管理局医疗器械技术审评中心通告</w:t>
      </w:r>
      <w:r>
        <w:rPr>
          <w:rFonts w:eastAsia="仿宋_GB2312" w:hint="eastAsia"/>
          <w:color w:val="000000"/>
          <w:sz w:val="32"/>
          <w:szCs w:val="32"/>
        </w:rPr>
        <w:t>2025</w:t>
      </w:r>
      <w:r>
        <w:rPr>
          <w:rFonts w:eastAsia="仿宋_GB2312" w:hint="eastAsia"/>
          <w:color w:val="000000"/>
          <w:sz w:val="32"/>
          <w:szCs w:val="32"/>
        </w:rPr>
        <w:t>年第</w:t>
      </w:r>
      <w:r>
        <w:rPr>
          <w:rFonts w:eastAsia="仿宋_GB2312" w:hint="eastAsia"/>
          <w:color w:val="000000"/>
          <w:sz w:val="32"/>
          <w:szCs w:val="32"/>
        </w:rPr>
        <w:t>6</w:t>
      </w:r>
      <w:r>
        <w:rPr>
          <w:rFonts w:eastAsia="仿宋_GB2312" w:hint="eastAsia"/>
          <w:color w:val="000000"/>
          <w:sz w:val="32"/>
          <w:szCs w:val="32"/>
        </w:rPr>
        <w:t>号</w:t>
      </w:r>
      <w:r>
        <w:rPr>
          <w:rFonts w:eastAsia="仿宋_GB2312" w:hint="eastAsia"/>
          <w:color w:val="000000"/>
          <w:sz w:val="32"/>
          <w:szCs w:val="32"/>
        </w:rPr>
        <w:t>[Z].</w:t>
      </w:r>
    </w:p>
    <w:p w14:paraId="1B4F63E8" w14:textId="77777777" w:rsidR="007164BE" w:rsidRDefault="00606284">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[5]</w:t>
      </w:r>
      <w:r>
        <w:rPr>
          <w:rFonts w:hint="eastAsia"/>
        </w:rPr>
        <w:t xml:space="preserve"> </w:t>
      </w:r>
      <w:r>
        <w:rPr>
          <w:rFonts w:eastAsia="仿宋_GB2312" w:hint="eastAsia"/>
          <w:color w:val="000000"/>
          <w:sz w:val="32"/>
          <w:szCs w:val="32"/>
        </w:rPr>
        <w:t>国家药品监督管理局医疗器械技术审评中心</w:t>
      </w:r>
      <w:r>
        <w:rPr>
          <w:rFonts w:eastAsia="仿宋_GB2312" w:hint="eastAsia"/>
          <w:color w:val="000000"/>
          <w:sz w:val="32"/>
          <w:szCs w:val="32"/>
        </w:rPr>
        <w:t>.</w:t>
      </w:r>
      <w:r>
        <w:rPr>
          <w:rFonts w:eastAsia="仿宋_GB2312" w:hint="eastAsia"/>
          <w:color w:val="000000"/>
          <w:sz w:val="32"/>
          <w:szCs w:val="32"/>
        </w:rPr>
        <w:t>种植用口腔骨填充材料注册审查指导原则：国家药品监督管理局医疗器械技术审评中心通告</w:t>
      </w:r>
      <w:r>
        <w:rPr>
          <w:rFonts w:eastAsia="仿宋_GB2312" w:hint="eastAsia"/>
          <w:color w:val="000000"/>
          <w:sz w:val="32"/>
          <w:szCs w:val="32"/>
        </w:rPr>
        <w:t>2025</w:t>
      </w:r>
      <w:r>
        <w:rPr>
          <w:rFonts w:eastAsia="仿宋_GB2312" w:hint="eastAsia"/>
          <w:color w:val="000000"/>
          <w:sz w:val="32"/>
          <w:szCs w:val="32"/>
        </w:rPr>
        <w:t>年第</w:t>
      </w:r>
      <w:r>
        <w:rPr>
          <w:rFonts w:eastAsia="仿宋_GB2312" w:hint="eastAsia"/>
          <w:color w:val="000000"/>
          <w:sz w:val="32"/>
          <w:szCs w:val="32"/>
        </w:rPr>
        <w:t>6</w:t>
      </w:r>
      <w:r>
        <w:rPr>
          <w:rFonts w:eastAsia="仿宋_GB2312" w:hint="eastAsia"/>
          <w:color w:val="000000"/>
          <w:sz w:val="32"/>
          <w:szCs w:val="32"/>
        </w:rPr>
        <w:t>号</w:t>
      </w:r>
      <w:r>
        <w:rPr>
          <w:rFonts w:eastAsia="仿宋_GB2312" w:hint="eastAsia"/>
          <w:color w:val="000000"/>
          <w:sz w:val="32"/>
          <w:szCs w:val="32"/>
        </w:rPr>
        <w:t>[Z].</w:t>
      </w:r>
    </w:p>
    <w:p w14:paraId="4FB87F17" w14:textId="77777777" w:rsidR="007164BE" w:rsidRDefault="007164BE">
      <w:pPr>
        <w:spacing w:line="520" w:lineRule="exact"/>
        <w:ind w:rightChars="-32" w:right="-67" w:firstLineChars="200" w:firstLine="640"/>
        <w:rPr>
          <w:rFonts w:eastAsia="仿宋_GB2312"/>
          <w:color w:val="000000"/>
          <w:sz w:val="32"/>
          <w:szCs w:val="32"/>
        </w:rPr>
      </w:pPr>
    </w:p>
    <w:p w14:paraId="73F07DF4" w14:textId="77777777" w:rsidR="007164BE" w:rsidRDefault="007164BE">
      <w:pPr>
        <w:spacing w:line="520" w:lineRule="exact"/>
        <w:ind w:firstLineChars="200" w:firstLine="640"/>
        <w:jc w:val="left"/>
        <w:rPr>
          <w:rFonts w:eastAsia="仿宋_GB2312"/>
          <w:color w:val="000000"/>
          <w:sz w:val="32"/>
          <w:szCs w:val="32"/>
        </w:rPr>
      </w:pPr>
    </w:p>
    <w:p w14:paraId="6C1CE95B" w14:textId="77777777" w:rsidR="007164BE" w:rsidRDefault="007164BE">
      <w:pPr>
        <w:spacing w:line="520" w:lineRule="exact"/>
      </w:pPr>
    </w:p>
    <w:sectPr w:rsidR="007164BE">
      <w:footerReference w:type="default" r:id="rId7"/>
      <w:pgSz w:w="11906" w:h="16838"/>
      <w:pgMar w:top="1928" w:right="1531" w:bottom="1814" w:left="1531" w:header="851" w:footer="1247" w:gutter="0"/>
      <w:lnNumType w:countBy="1" w:restart="continuous"/>
      <w:pgNumType w:start="1"/>
      <w:cols w:space="720"/>
      <w:docGrid w:type="lines" w:linePitch="312"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9A4E5" w14:textId="77777777" w:rsidR="00606284" w:rsidRDefault="00606284">
      <w:r>
        <w:separator/>
      </w:r>
    </w:p>
  </w:endnote>
  <w:endnote w:type="continuationSeparator" w:id="0">
    <w:p w14:paraId="285852C6" w14:textId="77777777" w:rsidR="00606284" w:rsidRDefault="0060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68F9" w14:textId="002864C8" w:rsidR="007164BE" w:rsidRDefault="00606284">
    <w:pPr>
      <w:pStyle w:val="a7"/>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DE40F4" w:rsidRPr="00DE40F4">
      <w:rPr>
        <w:noProof/>
        <w:sz w:val="28"/>
        <w:szCs w:val="28"/>
        <w:lang w:val="zh-CN"/>
      </w:rPr>
      <w:t>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14:paraId="2063DA8C" w14:textId="77777777" w:rsidR="007164BE" w:rsidRDefault="007164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24CFB" w14:textId="77777777" w:rsidR="00606284" w:rsidRDefault="00606284">
      <w:r>
        <w:separator/>
      </w:r>
    </w:p>
  </w:footnote>
  <w:footnote w:type="continuationSeparator" w:id="0">
    <w:p w14:paraId="04030CB2" w14:textId="77777777" w:rsidR="00606284" w:rsidRDefault="00606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jMjQ2MjgzZjU4ODFhYTBlM2U1ZDUyMTYyYmQ0NTYifQ=="/>
  </w:docVars>
  <w:rsids>
    <w:rsidRoot w:val="005735B4"/>
    <w:rsid w:val="00000C09"/>
    <w:rsid w:val="00002418"/>
    <w:rsid w:val="00036F9F"/>
    <w:rsid w:val="000573AB"/>
    <w:rsid w:val="00061BD8"/>
    <w:rsid w:val="00083923"/>
    <w:rsid w:val="000B177A"/>
    <w:rsid w:val="000F1A02"/>
    <w:rsid w:val="00103E48"/>
    <w:rsid w:val="00121556"/>
    <w:rsid w:val="00124A6C"/>
    <w:rsid w:val="00143FD5"/>
    <w:rsid w:val="0015178D"/>
    <w:rsid w:val="00187312"/>
    <w:rsid w:val="001A4627"/>
    <w:rsid w:val="00234417"/>
    <w:rsid w:val="00246CF4"/>
    <w:rsid w:val="00255396"/>
    <w:rsid w:val="002A5AE6"/>
    <w:rsid w:val="002B00BD"/>
    <w:rsid w:val="002B1CD1"/>
    <w:rsid w:val="002B2057"/>
    <w:rsid w:val="002B799B"/>
    <w:rsid w:val="002C7E0B"/>
    <w:rsid w:val="00316DB3"/>
    <w:rsid w:val="00323D74"/>
    <w:rsid w:val="00337B55"/>
    <w:rsid w:val="003810E6"/>
    <w:rsid w:val="003832F7"/>
    <w:rsid w:val="003B4065"/>
    <w:rsid w:val="003F4B1C"/>
    <w:rsid w:val="004161BB"/>
    <w:rsid w:val="00441C8D"/>
    <w:rsid w:val="00464463"/>
    <w:rsid w:val="004655CD"/>
    <w:rsid w:val="004A7107"/>
    <w:rsid w:val="004B4F0F"/>
    <w:rsid w:val="004C4C69"/>
    <w:rsid w:val="004D6E8A"/>
    <w:rsid w:val="00512136"/>
    <w:rsid w:val="00570266"/>
    <w:rsid w:val="005735B4"/>
    <w:rsid w:val="005B1154"/>
    <w:rsid w:val="005E170E"/>
    <w:rsid w:val="00606284"/>
    <w:rsid w:val="006455DB"/>
    <w:rsid w:val="006A73BD"/>
    <w:rsid w:val="007164BE"/>
    <w:rsid w:val="00717F54"/>
    <w:rsid w:val="00722A03"/>
    <w:rsid w:val="0075541B"/>
    <w:rsid w:val="00787CC9"/>
    <w:rsid w:val="007D1EEC"/>
    <w:rsid w:val="007F3CE9"/>
    <w:rsid w:val="00870432"/>
    <w:rsid w:val="008938E6"/>
    <w:rsid w:val="008A6471"/>
    <w:rsid w:val="008A770E"/>
    <w:rsid w:val="008C5FAF"/>
    <w:rsid w:val="008C7AA8"/>
    <w:rsid w:val="00904F02"/>
    <w:rsid w:val="00933B40"/>
    <w:rsid w:val="00935F36"/>
    <w:rsid w:val="00951422"/>
    <w:rsid w:val="009837DD"/>
    <w:rsid w:val="009E2D79"/>
    <w:rsid w:val="00A35CE0"/>
    <w:rsid w:val="00A42511"/>
    <w:rsid w:val="00A75846"/>
    <w:rsid w:val="00AD2275"/>
    <w:rsid w:val="00AE17DE"/>
    <w:rsid w:val="00B07504"/>
    <w:rsid w:val="00C42D09"/>
    <w:rsid w:val="00CB5ECC"/>
    <w:rsid w:val="00CD016A"/>
    <w:rsid w:val="00CE6485"/>
    <w:rsid w:val="00CF7D89"/>
    <w:rsid w:val="00D24E64"/>
    <w:rsid w:val="00D30860"/>
    <w:rsid w:val="00D670C9"/>
    <w:rsid w:val="00D671B5"/>
    <w:rsid w:val="00DB2863"/>
    <w:rsid w:val="00DD091C"/>
    <w:rsid w:val="00DD131D"/>
    <w:rsid w:val="00DE40F4"/>
    <w:rsid w:val="00E356CD"/>
    <w:rsid w:val="00EA5A27"/>
    <w:rsid w:val="00ED756B"/>
    <w:rsid w:val="00EE6590"/>
    <w:rsid w:val="00EF2C2D"/>
    <w:rsid w:val="00F122DA"/>
    <w:rsid w:val="00F92960"/>
    <w:rsid w:val="00FB1044"/>
    <w:rsid w:val="00FE724A"/>
    <w:rsid w:val="0CAB03A0"/>
    <w:rsid w:val="29D97B1A"/>
    <w:rsid w:val="2A1F6F52"/>
    <w:rsid w:val="34E524F1"/>
    <w:rsid w:val="58F27D46"/>
    <w:rsid w:val="593F1B8B"/>
    <w:rsid w:val="598C60F1"/>
    <w:rsid w:val="5A562236"/>
    <w:rsid w:val="632960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2193117-0B71-47DF-88FE-DDFBD052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100" w:beforeAutospacing="1" w:after="100" w:afterAutospacing="1"/>
      <w:jc w:val="left"/>
    </w:pPr>
    <w:rPr>
      <w:kern w:val="0"/>
      <w:sz w:val="24"/>
    </w:rPr>
  </w:style>
  <w:style w:type="paragraph" w:styleId="ab">
    <w:name w:val="annotation subject"/>
    <w:basedOn w:val="a3"/>
    <w:next w:val="a3"/>
    <w:link w:val="ac"/>
    <w:semiHidden/>
    <w:unhideWhenUsed/>
    <w:qFormat/>
    <w:rPr>
      <w:b/>
      <w:bCs/>
    </w:rPr>
  </w:style>
  <w:style w:type="character" w:styleId="ad">
    <w:name w:val="line number"/>
    <w:basedOn w:val="a0"/>
    <w:qFormat/>
  </w:style>
  <w:style w:type="character" w:styleId="ae">
    <w:name w:val="annotation reference"/>
    <w:basedOn w:val="a0"/>
    <w:qFormat/>
    <w:rPr>
      <w:sz w:val="21"/>
      <w:szCs w:val="21"/>
    </w:rPr>
  </w:style>
  <w:style w:type="paragraph" w:styleId="af">
    <w:name w:val="No Spacing"/>
    <w:qFormat/>
    <w:pPr>
      <w:adjustRightInd w:val="0"/>
      <w:snapToGrid w:val="0"/>
    </w:pPr>
    <w:rPr>
      <w:rFonts w:ascii="Tahoma" w:eastAsia="微软雅黑" w:hAnsi="Tahoma"/>
      <w:sz w:val="22"/>
      <w:szCs w:val="22"/>
    </w:rPr>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paragraph" w:customStyle="1" w:styleId="1">
    <w:name w:val="列出段落1"/>
    <w:basedOn w:val="a"/>
    <w:uiPriority w:val="34"/>
    <w:qFormat/>
    <w:pPr>
      <w:ind w:firstLineChars="200" w:firstLine="420"/>
    </w:pPr>
    <w:rPr>
      <w:rFonts w:eastAsia="仿宋_GB2312"/>
      <w:sz w:val="32"/>
      <w:szCs w:val="32"/>
    </w:rPr>
  </w:style>
  <w:style w:type="paragraph" w:customStyle="1" w:styleId="10">
    <w:name w:val="修订1"/>
    <w:hidden/>
    <w:uiPriority w:val="99"/>
    <w:unhideWhenUsed/>
    <w:qFormat/>
    <w:rPr>
      <w:kern w:val="2"/>
      <w:sz w:val="21"/>
      <w:szCs w:val="24"/>
    </w:rPr>
  </w:style>
  <w:style w:type="character" w:customStyle="1" w:styleId="a4">
    <w:name w:val="批注文字 字符"/>
    <w:basedOn w:val="a0"/>
    <w:link w:val="a3"/>
    <w:qFormat/>
    <w:rPr>
      <w:kern w:val="2"/>
      <w:sz w:val="21"/>
      <w:szCs w:val="24"/>
    </w:rPr>
  </w:style>
  <w:style w:type="character" w:customStyle="1" w:styleId="ac">
    <w:name w:val="批注主题 字符"/>
    <w:basedOn w:val="a4"/>
    <w:link w:val="ab"/>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786C8-82F8-4F65-9FD6-87B07FF9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yzhan</dc:creator>
  <cp:lastModifiedBy>王悦</cp:lastModifiedBy>
  <cp:revision>15</cp:revision>
  <cp:lastPrinted>2026-06-24T01:14:00Z</cp:lastPrinted>
  <dcterms:created xsi:type="dcterms:W3CDTF">2026-05-19T08:43:00Z</dcterms:created>
  <dcterms:modified xsi:type="dcterms:W3CDTF">2026-06-24T01:14:00Z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908F7542FC814278A6A0BF4F46346505_13</vt:lpwstr>
  </property>
</Properties>
</file>